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7732" w14:textId="1DAB815E" w:rsidR="00172FA0" w:rsidRDefault="00172FA0" w:rsidP="00172FA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  <w:bookmarkStart w:id="0" w:name="_Hlk81218661"/>
      <w:r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 xml:space="preserve">Pułtusk, dnia 19 lipca 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202</w:t>
      </w:r>
      <w:r w:rsidR="0045072B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2</w:t>
      </w:r>
      <w:r w:rsidR="0003597B"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 xml:space="preserve"> r.</w:t>
      </w:r>
    </w:p>
    <w:p w14:paraId="346094CD" w14:textId="31F30123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>WBA.6</w:t>
      </w:r>
      <w:r>
        <w:rPr>
          <w:rFonts w:ascii="Times New Roman" w:eastAsia="Andale Sans UI" w:hAnsi="Times New Roman"/>
          <w:color w:val="000000"/>
          <w:kern w:val="3"/>
          <w:sz w:val="23"/>
          <w:szCs w:val="23"/>
          <w:lang w:eastAsia="ja-JP" w:bidi="fa-IR"/>
        </w:rPr>
        <w:t>740.221.2022</w:t>
      </w:r>
    </w:p>
    <w:p w14:paraId="78395BEE" w14:textId="463C856F" w:rsidR="00172FA0" w:rsidRDefault="00172FA0" w:rsidP="00172FA0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4"/>
          <w:szCs w:val="24"/>
          <w:u w:val="single"/>
          <w:lang w:eastAsia="ja-JP" w:bidi="fa-IR"/>
        </w:rPr>
        <w:t>DECYZJA N</w:t>
      </w:r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u w:val="single"/>
          <w:lang w:eastAsia="ja-JP" w:bidi="fa-IR"/>
        </w:rPr>
        <w:t xml:space="preserve">R </w:t>
      </w:r>
      <w:r w:rsidR="0091262D">
        <w:rPr>
          <w:rFonts w:ascii="Times New Roman" w:eastAsia="Andale Sans UI" w:hAnsi="Times New Roman"/>
          <w:b/>
          <w:color w:val="000000"/>
          <w:kern w:val="3"/>
          <w:sz w:val="24"/>
          <w:szCs w:val="24"/>
          <w:u w:val="single"/>
          <w:lang w:eastAsia="ja-JP" w:bidi="fa-IR"/>
        </w:rPr>
        <w:t>194</w:t>
      </w:r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u w:val="single"/>
          <w:lang w:eastAsia="ja-JP" w:bidi="fa-IR"/>
        </w:rPr>
        <w:t>/2022</w:t>
      </w:r>
    </w:p>
    <w:p w14:paraId="4B88A309" w14:textId="6EC5555D" w:rsidR="00172FA0" w:rsidRDefault="00172FA0" w:rsidP="00172F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kern w:val="3"/>
          <w:sz w:val="23"/>
          <w:szCs w:val="23"/>
          <w:lang w:eastAsia="ja-JP" w:bidi="fa-IR"/>
        </w:rPr>
      </w:pPr>
      <w:r>
        <w:rPr>
          <w:rFonts w:ascii="Times New Roman" w:eastAsia="TimesNewRoman" w:hAnsi="Times New Roman"/>
          <w:kern w:val="3"/>
          <w:sz w:val="23"/>
          <w:szCs w:val="23"/>
          <w:lang w:eastAsia="ja-JP" w:bidi="fa-IR"/>
        </w:rPr>
        <w:t xml:space="preserve">Na podstawie art. 28, art. 33 ust. 1, art. 34 ust. 4 i art. 36 ustawy z dnia 7 lipca 1994 r. - Prawo budowlane </w:t>
      </w:r>
      <w:r>
        <w:rPr>
          <w:rFonts w:ascii="Times New Roman" w:eastAsia="TimesNewRoman" w:hAnsi="Times New Roman"/>
          <w:sz w:val="23"/>
          <w:szCs w:val="23"/>
          <w:lang w:eastAsia="ja-JP" w:bidi="fa-IR"/>
        </w:rPr>
        <w:t>(Dz. U. z 2021r., poz. 2351 ze zm.</w:t>
      </w:r>
      <w:r>
        <w:rPr>
          <w:rFonts w:ascii="Times New Roman" w:eastAsia="TimesNewRoman" w:hAnsi="Times New Roman"/>
          <w:kern w:val="3"/>
          <w:sz w:val="23"/>
          <w:szCs w:val="23"/>
          <w:lang w:eastAsia="ja-JP" w:bidi="fa-IR"/>
        </w:rPr>
        <w:t>) oraz na podstawie art. 104 ustawy z dnia 14 czerwca 1960 r. - Kodeks postępowania administracyjnego (Dz. U. z 2021 r., po</w:t>
      </w:r>
      <w:r w:rsidR="00B85246">
        <w:rPr>
          <w:rFonts w:ascii="Times New Roman" w:eastAsia="TimesNewRoman" w:hAnsi="Times New Roman"/>
          <w:kern w:val="3"/>
          <w:sz w:val="23"/>
          <w:szCs w:val="23"/>
          <w:lang w:eastAsia="ja-JP" w:bidi="fa-IR"/>
        </w:rPr>
        <w:t>z.</w:t>
      </w:r>
      <w:r>
        <w:rPr>
          <w:rFonts w:ascii="Times New Roman" w:eastAsia="TimesNewRoman" w:hAnsi="Times New Roman"/>
          <w:kern w:val="3"/>
          <w:sz w:val="23"/>
          <w:szCs w:val="23"/>
          <w:lang w:eastAsia="ja-JP" w:bidi="fa-IR"/>
        </w:rPr>
        <w:t xml:space="preserve"> 735 ze zm.) po rozpatrzeniu wniosku o pozwolenie na budow</w:t>
      </w:r>
      <w:r>
        <w:rPr>
          <w:rFonts w:ascii="Times New Roman" w:eastAsia="TimesNewRoman" w:hAnsi="Times New Roman"/>
          <w:color w:val="000000"/>
          <w:kern w:val="3"/>
          <w:sz w:val="23"/>
          <w:szCs w:val="23"/>
          <w:lang w:eastAsia="ja-JP" w:bidi="fa-IR"/>
        </w:rPr>
        <w:t>ę z dnia 09.06.2022 r.</w:t>
      </w:r>
    </w:p>
    <w:p w14:paraId="53E3678F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kern w:val="3"/>
          <w:sz w:val="16"/>
          <w:szCs w:val="16"/>
          <w:lang w:eastAsia="ja-JP" w:bidi="fa-IR"/>
        </w:rPr>
      </w:pPr>
    </w:p>
    <w:p w14:paraId="5608CA3D" w14:textId="77777777" w:rsidR="00172FA0" w:rsidRDefault="00172FA0" w:rsidP="00172FA0">
      <w:pPr>
        <w:pStyle w:val="Standard"/>
        <w:autoSpaceDE w:val="0"/>
        <w:jc w:val="center"/>
        <w:rPr>
          <w:rFonts w:eastAsia="TimesNewRoman" w:cs="Times New Roman"/>
          <w:b/>
          <w:bCs/>
          <w:sz w:val="23"/>
          <w:szCs w:val="23"/>
          <w:lang w:val="pl-PL"/>
        </w:rPr>
      </w:pPr>
      <w:r>
        <w:rPr>
          <w:rFonts w:eastAsia="TimesNewRoman" w:cs="Times New Roman"/>
          <w:b/>
          <w:bCs/>
          <w:sz w:val="23"/>
          <w:szCs w:val="23"/>
          <w:lang w:val="pl-PL"/>
        </w:rPr>
        <w:t>zatwierdzam projekt budowlany i udzielam pozwolenia na budowę</w:t>
      </w:r>
    </w:p>
    <w:p w14:paraId="2A437894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TimesNewRoman" w:hAnsi="Times New Roman"/>
          <w:kern w:val="3"/>
          <w:sz w:val="20"/>
          <w:szCs w:val="20"/>
          <w:lang w:eastAsia="ja-JP" w:bidi="fa-IR"/>
        </w:rPr>
        <w:t>dla:</w:t>
      </w:r>
    </w:p>
    <w:p w14:paraId="79758740" w14:textId="689F1A12" w:rsidR="00172FA0" w:rsidRDefault="00172FA0" w:rsidP="00172FA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Burmistrza Miasta Pułtusk, </w:t>
      </w:r>
      <w:r w:rsidRPr="00D85F99">
        <w:rPr>
          <w:rFonts w:ascii="Times New Roman" w:eastAsia="Times New Roman" w:hAnsi="Times New Roman"/>
          <w:sz w:val="24"/>
          <w:szCs w:val="24"/>
          <w:lang w:eastAsia="ar-SA"/>
        </w:rPr>
        <w:t xml:space="preserve">ul. Rynek 41, 06-100 Pułtusk </w:t>
      </w:r>
    </w:p>
    <w:p w14:paraId="2CD29903" w14:textId="77777777" w:rsidR="00172FA0" w:rsidRPr="004C43DD" w:rsidRDefault="00172FA0" w:rsidP="00172FA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bCs/>
          <w:color w:val="000000"/>
          <w:kern w:val="3"/>
          <w:sz w:val="20"/>
          <w:szCs w:val="20"/>
          <w:lang w:eastAsia="ja-JP"/>
        </w:rPr>
      </w:pPr>
      <w:r w:rsidRPr="004C43DD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ja-JP"/>
        </w:rPr>
        <w:t>obejmujące:</w:t>
      </w:r>
    </w:p>
    <w:p w14:paraId="2644DE2F" w14:textId="5CF6B9E5" w:rsidR="00172FA0" w:rsidRDefault="00172FA0" w:rsidP="00172FA0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color w:val="000000"/>
          <w:kern w:val="3"/>
          <w:sz w:val="23"/>
          <w:szCs w:val="23"/>
          <w:lang w:eastAsia="ja-JP"/>
        </w:rPr>
      </w:pPr>
      <w:r>
        <w:rPr>
          <w:rFonts w:ascii="Times New Roman" w:eastAsia="Times New Roman" w:hAnsi="Times New Roman"/>
          <w:b/>
          <w:color w:val="000000"/>
          <w:kern w:val="3"/>
          <w:sz w:val="23"/>
          <w:szCs w:val="23"/>
          <w:lang w:eastAsia="ja-JP"/>
        </w:rPr>
        <w:t xml:space="preserve">sieć kanalizacji </w:t>
      </w:r>
      <w:r w:rsidR="003861DA">
        <w:rPr>
          <w:rFonts w:ascii="Times New Roman" w:eastAsia="Times New Roman" w:hAnsi="Times New Roman"/>
          <w:b/>
          <w:color w:val="000000"/>
          <w:kern w:val="3"/>
          <w:sz w:val="23"/>
          <w:szCs w:val="23"/>
          <w:lang w:eastAsia="ja-JP"/>
        </w:rPr>
        <w:t>sanitarnej w</w:t>
      </w:r>
      <w:r>
        <w:rPr>
          <w:rFonts w:ascii="Times New Roman" w:eastAsia="Times New Roman" w:hAnsi="Times New Roman"/>
          <w:b/>
          <w:color w:val="000000"/>
          <w:kern w:val="3"/>
          <w:sz w:val="23"/>
          <w:szCs w:val="23"/>
          <w:lang w:eastAsia="ja-JP"/>
        </w:rPr>
        <w:t xml:space="preserve"> </w:t>
      </w:r>
      <w:r w:rsidR="003861DA">
        <w:rPr>
          <w:rFonts w:ascii="Times New Roman" w:eastAsia="Times New Roman" w:hAnsi="Times New Roman"/>
          <w:b/>
          <w:color w:val="000000"/>
          <w:kern w:val="3"/>
          <w:sz w:val="23"/>
          <w:szCs w:val="23"/>
          <w:lang w:eastAsia="ja-JP"/>
        </w:rPr>
        <w:t>ul. Mickiewicza, ul. Słonecznej oraz ul. Czereśniowej</w:t>
      </w:r>
      <w:r w:rsidR="003861DA">
        <w:rPr>
          <w:rFonts w:ascii="Times New Roman" w:eastAsia="Times New Roman" w:hAnsi="Times New Roman"/>
          <w:b/>
          <w:color w:val="000000"/>
          <w:kern w:val="3"/>
          <w:sz w:val="23"/>
          <w:szCs w:val="23"/>
          <w:lang w:eastAsia="ja-JP"/>
        </w:rPr>
        <w:br/>
        <w:t>w Pułtusku</w:t>
      </w:r>
    </w:p>
    <w:p w14:paraId="3B0C7F9A" w14:textId="77777777" w:rsidR="00172FA0" w:rsidRDefault="00172FA0" w:rsidP="00172FA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ja-JP"/>
        </w:rPr>
        <w:t>(kat. obiektu XXVI )</w:t>
      </w:r>
    </w:p>
    <w:p w14:paraId="6987F835" w14:textId="3507081B" w:rsidR="00172FA0" w:rsidRDefault="00172FA0" w:rsidP="00172FA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color w:val="000000"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color w:val="000000"/>
          <w:kern w:val="3"/>
          <w:sz w:val="20"/>
          <w:szCs w:val="20"/>
          <w:lang w:eastAsia="ja-JP"/>
        </w:rPr>
        <w:t xml:space="preserve">obręb </w:t>
      </w:r>
      <w:r w:rsidR="002638BE">
        <w:rPr>
          <w:rFonts w:ascii="Times New Roman" w:eastAsia="Times New Roman" w:hAnsi="Times New Roman"/>
          <w:color w:val="000000"/>
          <w:kern w:val="3"/>
          <w:sz w:val="20"/>
          <w:szCs w:val="20"/>
          <w:lang w:eastAsia="ja-JP"/>
        </w:rPr>
        <w:t>1</w:t>
      </w:r>
      <w:r>
        <w:rPr>
          <w:rFonts w:ascii="Times New Roman" w:eastAsia="Times New Roman" w:hAnsi="Times New Roman"/>
          <w:color w:val="000000"/>
          <w:kern w:val="3"/>
          <w:sz w:val="20"/>
          <w:szCs w:val="20"/>
          <w:lang w:eastAsia="ja-JP"/>
        </w:rPr>
        <w:t>2</w:t>
      </w:r>
      <w:r w:rsidR="002638BE">
        <w:rPr>
          <w:rFonts w:ascii="Times New Roman" w:eastAsia="Times New Roman" w:hAnsi="Times New Roman"/>
          <w:color w:val="000000"/>
          <w:kern w:val="3"/>
          <w:sz w:val="20"/>
          <w:szCs w:val="20"/>
          <w:lang w:eastAsia="ja-JP"/>
        </w:rPr>
        <w:t xml:space="preserve">, 16, 18 </w:t>
      </w:r>
      <w:r>
        <w:rPr>
          <w:rFonts w:ascii="Times New Roman" w:eastAsia="Times New Roman" w:hAnsi="Times New Roman"/>
          <w:color w:val="000000"/>
          <w:kern w:val="3"/>
          <w:sz w:val="20"/>
          <w:szCs w:val="20"/>
          <w:lang w:eastAsia="ja-JP"/>
        </w:rPr>
        <w:t xml:space="preserve">miasta Pułtusk </w:t>
      </w:r>
    </w:p>
    <w:p w14:paraId="33F3575E" w14:textId="77777777" w:rsidR="00AE72C3" w:rsidRPr="00AE72C3" w:rsidRDefault="00AE72C3" w:rsidP="00AE72C3">
      <w:pPr>
        <w:pStyle w:val="Bezodstpw"/>
        <w:rPr>
          <w:rFonts w:asciiTheme="majorBidi" w:eastAsia="Times New Roman" w:hAnsiTheme="majorBidi" w:cstheme="majorBidi"/>
          <w:sz w:val="16"/>
          <w:szCs w:val="16"/>
          <w:lang w:eastAsia="ar-SA"/>
        </w:rPr>
      </w:pPr>
    </w:p>
    <w:p w14:paraId="5B842889" w14:textId="61E89D9C" w:rsidR="002638BE" w:rsidRPr="00AE72C3" w:rsidRDefault="002638BE" w:rsidP="00AE72C3">
      <w:pPr>
        <w:pStyle w:val="Bezodstpw"/>
        <w:rPr>
          <w:rFonts w:asciiTheme="majorBidi" w:hAnsiTheme="majorBidi" w:cstheme="majorBidi"/>
        </w:rPr>
      </w:pPr>
      <w:r w:rsidRPr="00AE72C3">
        <w:rPr>
          <w:rFonts w:asciiTheme="majorBidi" w:eastAsia="Times New Roman" w:hAnsiTheme="majorBidi" w:cstheme="majorBidi"/>
          <w:lang w:eastAsia="ar-SA"/>
        </w:rPr>
        <w:t xml:space="preserve">na dz. nr </w:t>
      </w:r>
      <w:proofErr w:type="spellStart"/>
      <w:r w:rsidRPr="00AE72C3">
        <w:rPr>
          <w:rFonts w:asciiTheme="majorBidi" w:eastAsia="Times New Roman" w:hAnsiTheme="majorBidi" w:cstheme="majorBidi"/>
          <w:lang w:eastAsia="ar-SA"/>
        </w:rPr>
        <w:t>ewid</w:t>
      </w:r>
      <w:proofErr w:type="spellEnd"/>
      <w:r w:rsidRPr="00AE72C3">
        <w:rPr>
          <w:rFonts w:asciiTheme="majorBidi" w:eastAsia="Times New Roman" w:hAnsiTheme="majorBidi" w:cstheme="majorBidi"/>
          <w:lang w:eastAsia="ar-SA"/>
        </w:rPr>
        <w:t xml:space="preserve">. </w:t>
      </w:r>
      <w:r w:rsidRPr="00AE72C3">
        <w:rPr>
          <w:rFonts w:asciiTheme="majorBidi" w:hAnsiTheme="majorBidi" w:cstheme="majorBidi"/>
        </w:rPr>
        <w:t xml:space="preserve">33/1, 65/82, 65/81, 52/47, 52/29, 52/27, 67/6, 31/1, 65/80, 62/1, 60/1, 57/1, 55/9, 54/8, 53/8, 52/1, 51/4, 41, 20/10, 20/8, 20/6, 23/3, 24/4, 24/6, 28/2, 29/2, 30/2, 33/2, 34/1, 34/2, 35/2, 36/2,39/1, 40/1, 67/3, 67/32, 67/31, 67/29, 67/2 obręb 12 miasta Pułtusk, </w:t>
      </w:r>
    </w:p>
    <w:p w14:paraId="3D68DCDD" w14:textId="7E4B4D44" w:rsidR="002638BE" w:rsidRPr="00AE72C3" w:rsidRDefault="002638BE" w:rsidP="00AE72C3">
      <w:pPr>
        <w:pStyle w:val="Bezodstpw"/>
        <w:rPr>
          <w:rFonts w:asciiTheme="majorBidi" w:hAnsiTheme="majorBidi" w:cstheme="majorBidi"/>
        </w:rPr>
      </w:pPr>
      <w:r w:rsidRPr="00AE72C3">
        <w:rPr>
          <w:rFonts w:asciiTheme="majorBidi" w:hAnsiTheme="majorBidi" w:cstheme="majorBidi"/>
        </w:rPr>
        <w:t xml:space="preserve">na dz. nr </w:t>
      </w:r>
      <w:proofErr w:type="spellStart"/>
      <w:r w:rsidRPr="00AE72C3">
        <w:rPr>
          <w:rFonts w:asciiTheme="majorBidi" w:hAnsiTheme="majorBidi" w:cstheme="majorBidi"/>
        </w:rPr>
        <w:t>ewid</w:t>
      </w:r>
      <w:proofErr w:type="spellEnd"/>
      <w:r w:rsidRPr="00AE72C3">
        <w:rPr>
          <w:rFonts w:asciiTheme="majorBidi" w:hAnsiTheme="majorBidi" w:cstheme="majorBidi"/>
        </w:rPr>
        <w:t>. 78/21, 78/12, 78/5, 78/6, 77/2, 76/2, 71/5, 71/9, 70/11, 70/4, 71/2, 70/5, 64/2, 64/1 obręb 16 miasta Pułtusk</w:t>
      </w:r>
      <w:r w:rsidR="00AE72C3">
        <w:rPr>
          <w:rFonts w:asciiTheme="majorBidi" w:hAnsiTheme="majorBidi" w:cstheme="majorBidi"/>
        </w:rPr>
        <w:t>,</w:t>
      </w:r>
    </w:p>
    <w:p w14:paraId="302EC79A" w14:textId="29E024F6" w:rsidR="002638BE" w:rsidRPr="00AE72C3" w:rsidRDefault="002638BE" w:rsidP="00AE72C3">
      <w:pPr>
        <w:pStyle w:val="Bezodstpw"/>
        <w:rPr>
          <w:rFonts w:asciiTheme="majorBidi" w:hAnsiTheme="majorBidi" w:cstheme="majorBidi"/>
        </w:rPr>
      </w:pPr>
      <w:r w:rsidRPr="00AE72C3">
        <w:rPr>
          <w:rFonts w:asciiTheme="majorBidi" w:hAnsiTheme="majorBidi" w:cstheme="majorBidi"/>
        </w:rPr>
        <w:t xml:space="preserve">na dz. nr </w:t>
      </w:r>
      <w:proofErr w:type="spellStart"/>
      <w:r w:rsidRPr="00AE72C3">
        <w:rPr>
          <w:rFonts w:asciiTheme="majorBidi" w:hAnsiTheme="majorBidi" w:cstheme="majorBidi"/>
        </w:rPr>
        <w:t>ewid</w:t>
      </w:r>
      <w:proofErr w:type="spellEnd"/>
      <w:r w:rsidRPr="00AE72C3">
        <w:rPr>
          <w:rFonts w:asciiTheme="majorBidi" w:hAnsiTheme="majorBidi" w:cstheme="majorBidi"/>
        </w:rPr>
        <w:t>. 23/9, 22/9, 22/2, 21/2, 17/7, 17/1, 15/2, 14/2, 12/5, 11/2, 11/3, 11/4, 11/5, 7/1, 7/11, 49/18, 33/4, 32/7, 2, 1/2 obręb 18 miasta Pułtusk.</w:t>
      </w:r>
    </w:p>
    <w:p w14:paraId="1E8D7C6D" w14:textId="77777777" w:rsidR="002638BE" w:rsidRPr="00AE72C3" w:rsidRDefault="002638BE" w:rsidP="00172FA0">
      <w:pPr>
        <w:widowControl w:val="0"/>
        <w:autoSpaceDE w:val="0"/>
        <w:spacing w:line="200" w:lineRule="atLeast"/>
        <w:jc w:val="both"/>
        <w:textAlignment w:val="baseline"/>
        <w:rPr>
          <w:rFonts w:asciiTheme="majorBidi" w:hAnsiTheme="majorBidi" w:cstheme="majorBidi"/>
          <w:sz w:val="23"/>
          <w:szCs w:val="23"/>
          <w:vertAlign w:val="subscript"/>
        </w:rPr>
      </w:pPr>
    </w:p>
    <w:p w14:paraId="5B050902" w14:textId="46855824" w:rsidR="00AE72C3" w:rsidRDefault="00172FA0" w:rsidP="00AE72C3">
      <w:pPr>
        <w:pStyle w:val="NormalnyWeb"/>
        <w:spacing w:before="0" w:after="0"/>
        <w:jc w:val="both"/>
        <w:rPr>
          <w:rFonts w:eastAsia="Times New Roman" w:cs="Times New Roman"/>
          <w:sz w:val="23"/>
          <w:szCs w:val="23"/>
          <w:lang w:val="pl-PL" w:eastAsia="ar-SA" w:bidi="ar-SA"/>
        </w:rPr>
      </w:pPr>
      <w:r>
        <w:rPr>
          <w:sz w:val="23"/>
          <w:szCs w:val="23"/>
          <w:u w:val="single"/>
        </w:rPr>
        <w:t>autor projektu</w:t>
      </w:r>
      <w:r>
        <w:rPr>
          <w:sz w:val="23"/>
          <w:szCs w:val="23"/>
        </w:rPr>
        <w:t>:</w:t>
      </w:r>
      <w:r>
        <w:rPr>
          <w:rFonts w:eastAsia="Times New Roman"/>
          <w:sz w:val="23"/>
          <w:szCs w:val="23"/>
          <w:lang w:eastAsia="ar-SA"/>
        </w:rPr>
        <w:t xml:space="preserve"> </w:t>
      </w:r>
      <w:r w:rsidR="00AE72C3" w:rsidRPr="00A14F4C">
        <w:rPr>
          <w:rFonts w:eastAsia="Times New Roman" w:cs="Times New Roman"/>
          <w:sz w:val="23"/>
          <w:szCs w:val="23"/>
          <w:lang w:val="pl-PL" w:eastAsia="ar-SA" w:bidi="ar-SA"/>
        </w:rPr>
        <w:t>mgr inż. Juliusz Pietrzak</w:t>
      </w:r>
      <w:r w:rsidR="00AE72C3">
        <w:rPr>
          <w:rFonts w:eastAsia="Times New Roman" w:cs="Times New Roman"/>
          <w:sz w:val="23"/>
          <w:szCs w:val="23"/>
          <w:lang w:val="pl-PL" w:eastAsia="ar-SA" w:bidi="ar-SA"/>
        </w:rPr>
        <w:t>,</w:t>
      </w:r>
      <w:r w:rsidR="00AE72C3" w:rsidRPr="00A14F4C">
        <w:rPr>
          <w:rFonts w:eastAsia="Times New Roman" w:cs="Times New Roman"/>
          <w:sz w:val="23"/>
          <w:szCs w:val="23"/>
          <w:lang w:val="pl-PL" w:eastAsia="ar-SA" w:bidi="ar-SA"/>
        </w:rPr>
        <w:t xml:space="preserve"> posiadający przygotowanie zawodowe do pełnienia samodzielnej funkcji projektanta oraz kierownika budowy i robót w specjalności instalacyjno-inżynieryjnej w zakresie sieci i instalacji sanitarnych nr </w:t>
      </w:r>
      <w:proofErr w:type="spellStart"/>
      <w:r w:rsidR="00AE72C3" w:rsidRPr="00A14F4C">
        <w:rPr>
          <w:rFonts w:eastAsia="Times New Roman" w:cs="Times New Roman"/>
          <w:sz w:val="23"/>
          <w:szCs w:val="23"/>
          <w:lang w:val="pl-PL" w:eastAsia="ar-SA" w:bidi="ar-SA"/>
        </w:rPr>
        <w:t>ewid</w:t>
      </w:r>
      <w:proofErr w:type="spellEnd"/>
      <w:r w:rsidR="00AE72C3" w:rsidRPr="00A14F4C">
        <w:rPr>
          <w:rFonts w:eastAsia="Times New Roman" w:cs="Times New Roman"/>
          <w:sz w:val="23"/>
          <w:szCs w:val="23"/>
          <w:lang w:val="pl-PL" w:eastAsia="ar-SA" w:bidi="ar-SA"/>
        </w:rPr>
        <w:t>. Cie-4/81, należący do Mazowieckiej Okręgowej Izby Inżynierów Budownictwa nr MAZ/IS/1455/01</w:t>
      </w:r>
    </w:p>
    <w:p w14:paraId="04933ABE" w14:textId="77777777" w:rsidR="00AE72C3" w:rsidRPr="00AE72C3" w:rsidRDefault="00AE72C3" w:rsidP="00AE72C3">
      <w:pPr>
        <w:pStyle w:val="NormalnyWeb"/>
        <w:spacing w:before="0" w:after="0"/>
        <w:jc w:val="both"/>
        <w:rPr>
          <w:rFonts w:eastAsia="Times New Roman" w:cs="Times New Roman"/>
          <w:sz w:val="16"/>
          <w:szCs w:val="16"/>
          <w:lang w:val="pl-PL" w:eastAsia="ar-SA" w:bidi="ar-SA"/>
        </w:rPr>
      </w:pPr>
    </w:p>
    <w:p w14:paraId="5EB6F0C3" w14:textId="2368BC16" w:rsidR="00172FA0" w:rsidRDefault="00172FA0" w:rsidP="00AE72C3">
      <w:pPr>
        <w:widowControl w:val="0"/>
        <w:autoSpaceDE w:val="0"/>
        <w:spacing w:line="200" w:lineRule="atLeast"/>
        <w:jc w:val="both"/>
        <w:textAlignment w:val="baseline"/>
        <w:rPr>
          <w:rFonts w:ascii="Times New Roman" w:eastAsia="TimesNewRoman" w:hAnsi="Times New Roman"/>
          <w:sz w:val="23"/>
          <w:szCs w:val="23"/>
        </w:rPr>
      </w:pPr>
      <w:r>
        <w:rPr>
          <w:rFonts w:ascii="Times New Roman" w:eastAsia="TimesNewRoman" w:hAnsi="Times New Roman"/>
          <w:sz w:val="23"/>
          <w:szCs w:val="23"/>
        </w:rPr>
        <w:t>z zachowaniem następujących warunków, zgodnie z art. 36 ust. 1 oraz art. 42 ust. 2 i 3 ustawy z dnia 7 lipca 1994 r. – Prawo budowlane:</w:t>
      </w:r>
    </w:p>
    <w:p w14:paraId="2B3F61C7" w14:textId="5FF69848" w:rsidR="00172FA0" w:rsidRDefault="00172FA0" w:rsidP="00172F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kern w:val="3"/>
          <w:sz w:val="23"/>
          <w:szCs w:val="23"/>
          <w:u w:val="single"/>
          <w:lang w:eastAsia="ja-JP" w:bidi="fa-IR"/>
        </w:rPr>
      </w:pPr>
      <w:r>
        <w:rPr>
          <w:rFonts w:ascii="Times New Roman" w:eastAsia="TimesNewRoman" w:hAnsi="Times New Roman"/>
          <w:kern w:val="3"/>
          <w:sz w:val="23"/>
          <w:szCs w:val="23"/>
          <w:u w:val="single"/>
          <w:lang w:eastAsia="ja-JP" w:bidi="fa-IR"/>
        </w:rPr>
        <w:t>1. Szczególne warunki zabezpieczenia terenu budowy i prowadzenia robót budowlanych:</w:t>
      </w:r>
    </w:p>
    <w:p w14:paraId="3996C937" w14:textId="6695AC8C" w:rsidR="00172FA0" w:rsidRDefault="00172FA0" w:rsidP="00172FA0">
      <w:pPr>
        <w:widowControl w:val="0"/>
        <w:suppressAutoHyphens/>
        <w:spacing w:after="0" w:line="200" w:lineRule="atLeast"/>
        <w:ind w:left="-27"/>
        <w:jc w:val="both"/>
        <w:rPr>
          <w:rFonts w:ascii="Times New Roman" w:eastAsia="Times New Roman" w:hAnsi="Times New Roman"/>
          <w:kern w:val="3"/>
          <w:sz w:val="23"/>
          <w:szCs w:val="23"/>
          <w:lang w:eastAsia="ja-JP"/>
        </w:rPr>
      </w:pP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>1) obiekt należy wyznaczyć na gruncie przez uprawnionego geodetę,</w:t>
      </w:r>
    </w:p>
    <w:p w14:paraId="68B2061D" w14:textId="77777777" w:rsidR="00172FA0" w:rsidRDefault="00172FA0" w:rsidP="00172FA0">
      <w:pPr>
        <w:widowControl w:val="0"/>
        <w:suppressAutoHyphens/>
        <w:spacing w:after="0" w:line="200" w:lineRule="atLeast"/>
        <w:ind w:left="-27"/>
        <w:jc w:val="both"/>
        <w:rPr>
          <w:rFonts w:ascii="Times New Roman" w:eastAsia="Times New Roman" w:hAnsi="Times New Roman"/>
          <w:kern w:val="3"/>
          <w:sz w:val="23"/>
          <w:szCs w:val="23"/>
          <w:lang w:eastAsia="ja-JP"/>
        </w:rPr>
      </w:pP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>2) roboty należy realizować zgodnie z zatwierdzoną dokumentacją budowlaną w sposób zapewniający bezpieczeństwo ludzi i mienia oraz ochronę środowiska,</w:t>
      </w:r>
    </w:p>
    <w:p w14:paraId="10A17D26" w14:textId="77777777" w:rsidR="00172FA0" w:rsidRDefault="00172FA0" w:rsidP="00172FA0">
      <w:pPr>
        <w:widowControl w:val="0"/>
        <w:suppressAutoHyphens/>
        <w:spacing w:after="0" w:line="200" w:lineRule="atLeast"/>
        <w:ind w:left="-27"/>
        <w:jc w:val="both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  <w:r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 xml:space="preserve">3) </w:t>
      </w: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>wyroby wytworzone w celu zastosowania w obiekcie budowlanym w sposób trwały, zgodnie               z art. 10 ustawy - Prawo budowlane należy stosować wyłącznie, jeżeli wyroby te zostały wprowadzone do obrotu zgodnie z przepisami odrębnymi,</w:t>
      </w:r>
      <w:r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 xml:space="preserve"> </w:t>
      </w:r>
    </w:p>
    <w:p w14:paraId="1E4AE2E3" w14:textId="04044FAB" w:rsidR="00172FA0" w:rsidRDefault="00172FA0" w:rsidP="00172FA0">
      <w:pPr>
        <w:widowControl w:val="0"/>
        <w:suppressAutoHyphens/>
        <w:autoSpaceDE w:val="0"/>
        <w:spacing w:after="0" w:line="200" w:lineRule="atLeast"/>
        <w:ind w:left="-27"/>
        <w:jc w:val="both"/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</w:pPr>
      <w:r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 xml:space="preserve">4) zgodnie z art. 37 ust. 1 Prawa budowlanego, decyzja o pozwoleniu na budowę wygasa, jeżeli budowa nie zostanie rozpoczęta przed upływem 3 lat od dnia, w którym ta stanie się ostateczną lub budowa zostanie przerwana na okres dłuższy niż 3 lata, </w:t>
      </w:r>
    </w:p>
    <w:p w14:paraId="39EEEE44" w14:textId="34710506" w:rsidR="00172FA0" w:rsidRDefault="00172FA0" w:rsidP="00172FA0">
      <w:pPr>
        <w:widowControl w:val="0"/>
        <w:suppressAutoHyphens/>
        <w:autoSpaceDE w:val="0"/>
        <w:spacing w:after="0" w:line="200" w:lineRule="atLeast"/>
        <w:ind w:left="-27"/>
        <w:jc w:val="both"/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</w:pPr>
      <w:r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 xml:space="preserve">5) roboty należy realizować zgodnie z decyzją nr </w:t>
      </w:r>
      <w:r w:rsidR="00E510FA"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>89</w:t>
      </w:r>
      <w:r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 xml:space="preserve">/2021 </w:t>
      </w:r>
      <w:r w:rsidR="00E510FA"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 xml:space="preserve">Zarządu Dróg Powiatowych z dnia 21.12.2021 r. </w:t>
      </w:r>
      <w:r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 xml:space="preserve">znak: </w:t>
      </w:r>
      <w:r w:rsidR="00E510FA"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>ZDP.4333.85.2021/3174/12/21</w:t>
      </w:r>
      <w:r w:rsidR="00407DC2"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>,</w:t>
      </w:r>
    </w:p>
    <w:p w14:paraId="7FEC3649" w14:textId="5CEDCA94" w:rsidR="00407DC2" w:rsidRDefault="00407DC2" w:rsidP="00407DC2">
      <w:pPr>
        <w:widowControl w:val="0"/>
        <w:suppressAutoHyphens/>
        <w:autoSpaceDE w:val="0"/>
        <w:spacing w:after="0" w:line="200" w:lineRule="atLeast"/>
        <w:ind w:left="-27"/>
        <w:jc w:val="both"/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</w:pPr>
      <w:r>
        <w:rPr>
          <w:rFonts w:ascii="Times New Roman" w:eastAsia="Times New Roman" w:hAnsi="Times New Roman"/>
          <w:kern w:val="3"/>
          <w:sz w:val="23"/>
          <w:szCs w:val="23"/>
          <w:shd w:val="clear" w:color="auto" w:fill="FFFFFF"/>
          <w:lang w:eastAsia="ja-JP"/>
        </w:rPr>
        <w:t>6) roboty należy realizować zgodnie pismem Państwowego Gospodarstwa Wodnego Wody Polskie z dnia 10.09.2021 r. znak sprawy: WA.2.1.521.279.2021.MKi.</w:t>
      </w:r>
    </w:p>
    <w:p w14:paraId="1E376B57" w14:textId="77777777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3"/>
          <w:sz w:val="23"/>
          <w:szCs w:val="23"/>
          <w:u w:val="single"/>
          <w:lang w:eastAsia="ja-JP" w:bidi="fa-IR"/>
        </w:rPr>
      </w:pPr>
      <w:r>
        <w:rPr>
          <w:rFonts w:ascii="Times New Roman" w:eastAsia="Andale Sans UI" w:hAnsi="Times New Roman"/>
          <w:kern w:val="3"/>
          <w:sz w:val="23"/>
          <w:szCs w:val="23"/>
          <w:u w:val="single"/>
          <w:lang w:eastAsia="ja-JP" w:bidi="fa-IR"/>
        </w:rPr>
        <w:t>2. Czas użytkowania tymczasowych obiektów budowlanych: na czas trwania budowy.</w:t>
      </w:r>
    </w:p>
    <w:p w14:paraId="4F1DAAC4" w14:textId="77777777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3"/>
          <w:sz w:val="23"/>
          <w:szCs w:val="23"/>
          <w:u w:val="single"/>
          <w:lang w:eastAsia="ja-JP" w:bidi="fa-IR"/>
        </w:rPr>
      </w:pPr>
      <w:r>
        <w:rPr>
          <w:rFonts w:ascii="Times New Roman" w:eastAsia="Andale Sans UI" w:hAnsi="Times New Roman"/>
          <w:kern w:val="3"/>
          <w:sz w:val="23"/>
          <w:szCs w:val="23"/>
          <w:u w:val="single"/>
          <w:lang w:eastAsia="ja-JP" w:bidi="fa-IR"/>
        </w:rPr>
        <w:t>3. Terminy rozbiórki:</w:t>
      </w:r>
    </w:p>
    <w:p w14:paraId="402D09F4" w14:textId="77777777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strike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strike/>
          <w:kern w:val="3"/>
          <w:sz w:val="23"/>
          <w:szCs w:val="23"/>
          <w:lang w:eastAsia="ja-JP" w:bidi="fa-IR"/>
        </w:rPr>
        <w:t>1)  istniejących obiektów budowlanych nieprzewidzianych do dalszego użytkowania;</w:t>
      </w:r>
    </w:p>
    <w:p w14:paraId="1AE3ACEF" w14:textId="77777777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>2) tymczasowych obiektów budowlanych: przed zawiadomieniem właściwego organu                                    o zakończeniu budowy.</w:t>
      </w:r>
    </w:p>
    <w:p w14:paraId="2B6E17C1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kern w:val="3"/>
          <w:sz w:val="23"/>
          <w:szCs w:val="23"/>
          <w:u w:val="single"/>
          <w:lang w:eastAsia="ja-JP" w:bidi="fa-IR"/>
        </w:rPr>
      </w:pPr>
      <w:r>
        <w:rPr>
          <w:rFonts w:ascii="Times New Roman" w:eastAsia="TimesNewRoman" w:hAnsi="Times New Roman"/>
          <w:kern w:val="3"/>
          <w:sz w:val="23"/>
          <w:szCs w:val="23"/>
          <w:u w:val="single"/>
          <w:lang w:eastAsia="ja-JP" w:bidi="fa-IR"/>
        </w:rPr>
        <w:t>4. Szczegółowe wymagania dotyczące nadzoru na budowie:</w:t>
      </w:r>
    </w:p>
    <w:p w14:paraId="3992132B" w14:textId="77777777" w:rsidR="00172FA0" w:rsidRDefault="00172FA0" w:rsidP="00172FA0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/>
          <w:kern w:val="3"/>
          <w:sz w:val="23"/>
          <w:szCs w:val="23"/>
          <w:lang w:eastAsia="ja-JP"/>
        </w:rPr>
      </w:pP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>1)  budowę należy realizować pod nadzorem uprawnionego kierownika budowy,</w:t>
      </w:r>
    </w:p>
    <w:p w14:paraId="33F61A1C" w14:textId="77777777" w:rsidR="00172FA0" w:rsidRDefault="00172FA0" w:rsidP="00172FA0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lastRenderedPageBreak/>
        <w:t>2) zgod</w:t>
      </w: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>nie z art. 42 ust. 2 pkt 3 prawa budowlanego, kierownik budowy zobowiązany jest odpowiednio zabezpieczyć teren budowy,</w:t>
      </w:r>
    </w:p>
    <w:p w14:paraId="03547493" w14:textId="77777777" w:rsidR="00172FA0" w:rsidRDefault="00172FA0" w:rsidP="00172FA0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/>
          <w:kern w:val="3"/>
          <w:sz w:val="23"/>
          <w:szCs w:val="23"/>
          <w:lang w:eastAsia="ja-JP"/>
        </w:rPr>
      </w:pP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 xml:space="preserve">3) zgodnie z art. 42 ust. 4 Prawa budowlanego, przy prowadzeniu robót budowlanych, do kierowania którymi jest wymagane przygotowanie zawodowe w specjalności </w:t>
      </w:r>
      <w:proofErr w:type="spellStart"/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>techniczno</w:t>
      </w:r>
      <w:proofErr w:type="spellEnd"/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 xml:space="preserve"> – budowlanej innej niż posiada kierownik budowy, inwestor jest zobowiązany zapewnić ustanowienie kierownika robót w danej specjalności.</w:t>
      </w:r>
    </w:p>
    <w:p w14:paraId="5A08DB0E" w14:textId="77777777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3"/>
          <w:sz w:val="23"/>
          <w:szCs w:val="23"/>
          <w:u w:val="single"/>
          <w:lang w:eastAsia="ja-JP" w:bidi="fa-IR"/>
        </w:rPr>
      </w:pPr>
      <w:r>
        <w:rPr>
          <w:rFonts w:ascii="Times New Roman" w:eastAsia="Andale Sans UI" w:hAnsi="Times New Roman"/>
          <w:kern w:val="3"/>
          <w:sz w:val="23"/>
          <w:szCs w:val="23"/>
          <w:u w:val="single"/>
          <w:lang w:eastAsia="ja-JP" w:bidi="fa-IR"/>
        </w:rPr>
        <w:t>5. Inwestor jest obowiązany:</w:t>
      </w:r>
    </w:p>
    <w:p w14:paraId="20C89603" w14:textId="77777777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>1)  zawiadomić właściwy organ nadzoru budowlanego o zakończeniu budowy co najmniej 14 dni przed zamierzonym terminem przystąpienia do użytkowania,</w:t>
      </w:r>
    </w:p>
    <w:p w14:paraId="4A2FA71D" w14:textId="77777777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strike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strike/>
          <w:kern w:val="3"/>
          <w:sz w:val="23"/>
          <w:szCs w:val="23"/>
          <w:lang w:eastAsia="ja-JP" w:bidi="fa-IR"/>
        </w:rPr>
        <w:t>2) przed przystąpieniem do użytkowania uzyskać ostateczną decyzję o pozwoleniu na użytkowanie.</w:t>
      </w:r>
    </w:p>
    <w:p w14:paraId="212ADBF4" w14:textId="77777777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kern w:val="3"/>
          <w:sz w:val="23"/>
          <w:szCs w:val="23"/>
          <w:u w:val="single"/>
          <w:lang w:eastAsia="ja-JP" w:bidi="fa-IR"/>
        </w:rPr>
        <w:t>6. Kierownik budowy (robót) jest obowiązany</w:t>
      </w:r>
      <w:r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  <w:t xml:space="preserve"> prowadzić dziennik budowy lub rozbiórki oraz umieścić na budowie lub rozbiórce w widocznym miejscu tablicę informacyjną oraz ogłoszenie zawierające dane dotyczące bezpieczeństwa pracy i ochrony zdrowia.</w:t>
      </w:r>
    </w:p>
    <w:p w14:paraId="0444E002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kern w:val="3"/>
          <w:sz w:val="23"/>
          <w:szCs w:val="23"/>
          <w:lang w:eastAsia="ja-JP" w:bidi="fa-IR"/>
        </w:rPr>
      </w:pPr>
      <w:r>
        <w:rPr>
          <w:rFonts w:ascii="Times New Roman" w:eastAsia="TimesNewRoman" w:hAnsi="Times New Roman"/>
          <w:kern w:val="3"/>
          <w:sz w:val="23"/>
          <w:szCs w:val="23"/>
          <w:lang w:eastAsia="ja-JP" w:bidi="fa-IR"/>
        </w:rPr>
        <w:t>Obszar oddziaływania obiektu(-ów), o którym mowa w art. 3 pkt 20 ustawy z dnia 7 lipca 1994r. – Prawo budowlane, obejmuje nieruchomości:</w:t>
      </w:r>
    </w:p>
    <w:p w14:paraId="0C2D7F1B" w14:textId="1FA3EBF2" w:rsidR="00407DC2" w:rsidRPr="00407DC2" w:rsidRDefault="00407DC2" w:rsidP="00407DC2">
      <w:pPr>
        <w:pStyle w:val="Bezodstpw"/>
        <w:rPr>
          <w:rFonts w:asciiTheme="majorBidi" w:hAnsiTheme="majorBidi" w:cstheme="majorBidi"/>
          <w:sz w:val="23"/>
          <w:szCs w:val="23"/>
        </w:rPr>
      </w:pPr>
      <w:r w:rsidRPr="00407DC2">
        <w:rPr>
          <w:rFonts w:asciiTheme="majorBidi" w:eastAsia="Times New Roman" w:hAnsiTheme="majorBidi" w:cstheme="majorBidi"/>
          <w:sz w:val="23"/>
          <w:szCs w:val="23"/>
          <w:lang w:eastAsia="ar-SA"/>
        </w:rPr>
        <w:t xml:space="preserve">dz. nr </w:t>
      </w:r>
      <w:proofErr w:type="spellStart"/>
      <w:r w:rsidRPr="00407DC2">
        <w:rPr>
          <w:rFonts w:asciiTheme="majorBidi" w:eastAsia="Times New Roman" w:hAnsiTheme="majorBidi" w:cstheme="majorBidi"/>
          <w:sz w:val="23"/>
          <w:szCs w:val="23"/>
          <w:lang w:eastAsia="ar-SA"/>
        </w:rPr>
        <w:t>ewid</w:t>
      </w:r>
      <w:proofErr w:type="spellEnd"/>
      <w:r w:rsidRPr="00407DC2">
        <w:rPr>
          <w:rFonts w:asciiTheme="majorBidi" w:eastAsia="Times New Roman" w:hAnsiTheme="majorBidi" w:cstheme="majorBidi"/>
          <w:sz w:val="23"/>
          <w:szCs w:val="23"/>
          <w:lang w:eastAsia="ar-SA"/>
        </w:rPr>
        <w:t xml:space="preserve">. </w:t>
      </w:r>
      <w:r w:rsidRPr="00407DC2">
        <w:rPr>
          <w:rFonts w:asciiTheme="majorBidi" w:hAnsiTheme="majorBidi" w:cstheme="majorBidi"/>
          <w:sz w:val="23"/>
          <w:szCs w:val="23"/>
        </w:rPr>
        <w:t xml:space="preserve">33/1, 65/82, 65/81, 52/47, 52/29, 52/27, 67/6, 31/1, 65/80, 62/1, 60/1, 57/1, 55/9, 54/8, 53/8, 52/1, 51/4, 41, 20/10, 20/8, 20/6, 23/3, 24/4, 24/6, 28/2, 29/2, 30/2, 33/2, 34/1, 34/2, 35/2, 36/2,39/1, 40/1, 67/3, 67/32, 67/31, 67/29, 67/2 obręb 12 miasta Pułtusk, </w:t>
      </w:r>
    </w:p>
    <w:p w14:paraId="4871DACB" w14:textId="6E9F61ED" w:rsidR="00407DC2" w:rsidRPr="00407DC2" w:rsidRDefault="00407DC2" w:rsidP="00407DC2">
      <w:pPr>
        <w:pStyle w:val="Bezodstpw"/>
        <w:rPr>
          <w:rFonts w:asciiTheme="majorBidi" w:hAnsiTheme="majorBidi" w:cstheme="majorBidi"/>
          <w:sz w:val="23"/>
          <w:szCs w:val="23"/>
        </w:rPr>
      </w:pPr>
      <w:r w:rsidRPr="00407DC2">
        <w:rPr>
          <w:rFonts w:asciiTheme="majorBidi" w:hAnsiTheme="majorBidi" w:cstheme="majorBidi"/>
          <w:sz w:val="23"/>
          <w:szCs w:val="23"/>
        </w:rPr>
        <w:t xml:space="preserve">dz. nr </w:t>
      </w:r>
      <w:proofErr w:type="spellStart"/>
      <w:r w:rsidRPr="00407DC2">
        <w:rPr>
          <w:rFonts w:asciiTheme="majorBidi" w:hAnsiTheme="majorBidi" w:cstheme="majorBidi"/>
          <w:sz w:val="23"/>
          <w:szCs w:val="23"/>
        </w:rPr>
        <w:t>ewid</w:t>
      </w:r>
      <w:proofErr w:type="spellEnd"/>
      <w:r w:rsidRPr="00407DC2">
        <w:rPr>
          <w:rFonts w:asciiTheme="majorBidi" w:hAnsiTheme="majorBidi" w:cstheme="majorBidi"/>
          <w:sz w:val="23"/>
          <w:szCs w:val="23"/>
        </w:rPr>
        <w:t>. 78/21, 78/12, 78/5, 78/6, 77/2, 76/2, 71/5, 71/9, 70/11, 70/4, 71/2, 70/5, 64/2, 64/1 obręb 16 miasta Pułtusk,</w:t>
      </w:r>
    </w:p>
    <w:p w14:paraId="52E36920" w14:textId="737CB815" w:rsidR="00407DC2" w:rsidRPr="00407DC2" w:rsidRDefault="00407DC2" w:rsidP="00407DC2">
      <w:pPr>
        <w:pStyle w:val="Bezodstpw"/>
        <w:rPr>
          <w:rFonts w:asciiTheme="majorBidi" w:hAnsiTheme="majorBidi" w:cstheme="majorBidi"/>
          <w:sz w:val="23"/>
          <w:szCs w:val="23"/>
        </w:rPr>
      </w:pPr>
      <w:r w:rsidRPr="00407DC2">
        <w:rPr>
          <w:rFonts w:asciiTheme="majorBidi" w:hAnsiTheme="majorBidi" w:cstheme="majorBidi"/>
          <w:sz w:val="23"/>
          <w:szCs w:val="23"/>
        </w:rPr>
        <w:t xml:space="preserve">dz. nr </w:t>
      </w:r>
      <w:proofErr w:type="spellStart"/>
      <w:r w:rsidRPr="00407DC2">
        <w:rPr>
          <w:rFonts w:asciiTheme="majorBidi" w:hAnsiTheme="majorBidi" w:cstheme="majorBidi"/>
          <w:sz w:val="23"/>
          <w:szCs w:val="23"/>
        </w:rPr>
        <w:t>ewid</w:t>
      </w:r>
      <w:proofErr w:type="spellEnd"/>
      <w:r w:rsidRPr="00407DC2">
        <w:rPr>
          <w:rFonts w:asciiTheme="majorBidi" w:hAnsiTheme="majorBidi" w:cstheme="majorBidi"/>
          <w:sz w:val="23"/>
          <w:szCs w:val="23"/>
        </w:rPr>
        <w:t>. 23/9, 22/9, 22/2, 21/2, 17/7, 17/1, 15/2, 14/2, 12/5, 11/2, 11/3, 11/4, 11/5, 7/1, 7/11, 49/18, 33/4, 32/7, 2, 1/2 obręb 18 miasta Pułtusk.</w:t>
      </w:r>
    </w:p>
    <w:p w14:paraId="5174AE10" w14:textId="77777777" w:rsidR="00172FA0" w:rsidRDefault="00172FA0" w:rsidP="00172FA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3"/>
          <w:szCs w:val="23"/>
          <w:lang w:eastAsia="ja-JP" w:bidi="fa-IR"/>
        </w:rPr>
        <w:t>UZASADNIENIE</w:t>
      </w:r>
    </w:p>
    <w:p w14:paraId="04466FA9" w14:textId="77777777" w:rsidR="00172FA0" w:rsidRDefault="00172FA0" w:rsidP="00172FA0">
      <w:pPr>
        <w:widowControl w:val="0"/>
        <w:suppressAutoHyphens/>
        <w:autoSpaceDE w:val="0"/>
        <w:spacing w:after="0" w:line="20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3"/>
          <w:szCs w:val="23"/>
          <w:lang w:eastAsia="ja-JP"/>
        </w:rPr>
      </w:pP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>Z uwagi na to, iż decyzja uwzględnia w całości żądania strony odstępuje się od jej uzasadnienia (art. 107 § 4 Kpa).</w:t>
      </w:r>
    </w:p>
    <w:p w14:paraId="1D3663B0" w14:textId="0B17FAF7" w:rsidR="00172FA0" w:rsidRDefault="00172FA0" w:rsidP="00172F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/>
          <w:sz w:val="23"/>
          <w:szCs w:val="23"/>
        </w:rPr>
        <w:t>Niniejsza decyzja spełnia ustalenia</w:t>
      </w:r>
      <w:r w:rsidR="00E510FA">
        <w:rPr>
          <w:rFonts w:ascii="Times New Roman" w:eastAsia="Times New Roman" w:hAnsi="Times New Roman"/>
          <w:sz w:val="23"/>
          <w:szCs w:val="23"/>
        </w:rPr>
        <w:t xml:space="preserve"> ostatecznej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="00E510FA">
        <w:rPr>
          <w:rFonts w:ascii="Times New Roman" w:eastAsia="Times New Roman" w:hAnsi="Times New Roman"/>
          <w:sz w:val="23"/>
          <w:szCs w:val="23"/>
        </w:rPr>
        <w:t>decyzji nr 1/2021 o ustaleniu lokalizacji inwestycji celu publicznego z dnia 08.01.2021 r. wydanej przez Burmistrza Miasta Pułtusk znak sprawy: GGA.6733.54.2020.</w:t>
      </w:r>
    </w:p>
    <w:p w14:paraId="4A9B20BE" w14:textId="77777777" w:rsidR="00172FA0" w:rsidRDefault="00172FA0" w:rsidP="00172FA0">
      <w:pPr>
        <w:widowControl w:val="0"/>
        <w:tabs>
          <w:tab w:val="left" w:pos="-10244"/>
        </w:tabs>
        <w:suppressAutoHyphens/>
        <w:spacing w:after="0" w:line="240" w:lineRule="auto"/>
        <w:ind w:left="-76"/>
        <w:jc w:val="both"/>
        <w:textAlignment w:val="baseline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ab/>
      </w: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ab/>
        <w:t>Od decyzji niniejszej przysługuje stronie odwołanie do Wojewody Mazowieckiego</w:t>
      </w: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br/>
        <w:t>w Warszawie, za pośrednictwem organu</w:t>
      </w:r>
      <w:r>
        <w:rPr>
          <w:rFonts w:ascii="Times New Roman" w:eastAsia="Times New Roman" w:hAnsi="Times New Roman"/>
          <w:b/>
          <w:kern w:val="3"/>
          <w:sz w:val="23"/>
          <w:szCs w:val="23"/>
          <w:lang w:eastAsia="ja-JP"/>
        </w:rPr>
        <w:t xml:space="preserve"> </w:t>
      </w: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>wydającego decyzję w terminie 14 dni od dnia doręczenia.</w:t>
      </w:r>
    </w:p>
    <w:p w14:paraId="3C43EFA4" w14:textId="77777777" w:rsidR="00172FA0" w:rsidRDefault="00172FA0" w:rsidP="00172FA0">
      <w:pPr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3"/>
          <w:szCs w:val="23"/>
          <w:lang w:eastAsia="ja-JP"/>
        </w:rPr>
      </w:pPr>
      <w:r>
        <w:rPr>
          <w:rFonts w:ascii="Times New Roman" w:eastAsia="Times New Roman" w:hAnsi="Times New Roman"/>
          <w:kern w:val="3"/>
          <w:sz w:val="23"/>
          <w:szCs w:val="23"/>
          <w:lang w:eastAsia="ja-JP"/>
        </w:rPr>
        <w:tab/>
        <w:t>Zgodnie z art. 127a Kodeksu postępowania administracyjnego w trakcie biegu terminu do wniesienia odwołania strona może zrzec się prawa do wniesienia odwołania wobec organu administracji publicznej, który wydał decyzję. Z dniem doręczenia organowi administracji publicznej oświadczenia  o zrzeczeniu się prawa do wniesienia odwołania przez ostatnią ze stron postępowania, decyzja staje się ostateczna i prawomocna. W związku z powyższym strony postępowania administracyjnego nie mają możliwości zaskarżenia decyzji do Wojewódzkiego Sądu Administracyjnego.</w:t>
      </w:r>
    </w:p>
    <w:p w14:paraId="154D3F85" w14:textId="77777777" w:rsidR="00172FA0" w:rsidRDefault="00172FA0" w:rsidP="00172FA0">
      <w:pPr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23"/>
          <w:szCs w:val="23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3"/>
          <w:szCs w:val="23"/>
          <w:lang w:eastAsia="ja-JP" w:bidi="fa-IR"/>
        </w:rPr>
        <w:t>ADNOTACJA DOTYCZĄCA OPŁATY SKARBOWEJ</w:t>
      </w:r>
    </w:p>
    <w:p w14:paraId="4F8A9C18" w14:textId="77777777" w:rsidR="00172FA0" w:rsidRPr="002A1EDC" w:rsidRDefault="00172FA0" w:rsidP="00172FA0">
      <w:pPr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/>
          <w:kern w:val="2"/>
          <w:sz w:val="23"/>
          <w:szCs w:val="23"/>
          <w:lang w:eastAsia="hi-IN" w:bidi="hi-IN"/>
        </w:rPr>
      </w:pPr>
      <w:r w:rsidRPr="002A1EDC">
        <w:rPr>
          <w:rFonts w:ascii="Times New Roman" w:hAnsi="Times New Roman"/>
          <w:sz w:val="23"/>
          <w:szCs w:val="23"/>
        </w:rPr>
        <w:t xml:space="preserve">Zwolnione z opłaty skarbowej na podstawie art. 7 ustawy z dnia 16 listopada 2006 r.                          o opłacie skarbowej </w:t>
      </w:r>
      <w:r w:rsidRPr="002A1EDC">
        <w:rPr>
          <w:rFonts w:ascii="Times New Roman" w:eastAsia="Lucida Sans Unicode" w:hAnsi="Times New Roman"/>
          <w:kern w:val="2"/>
          <w:sz w:val="23"/>
          <w:szCs w:val="23"/>
          <w:lang w:eastAsia="hi-IN" w:bidi="hi-IN"/>
        </w:rPr>
        <w:t>(Dz.U. z 2020 r. poz. 1546 ze zm.)</w:t>
      </w:r>
    </w:p>
    <w:p w14:paraId="13932933" w14:textId="77777777" w:rsidR="00172FA0" w:rsidRPr="002A1EDC" w:rsidRDefault="00172FA0" w:rsidP="00172FA0">
      <w:pPr>
        <w:widowControl w:val="0"/>
        <w:tabs>
          <w:tab w:val="left" w:pos="708"/>
        </w:tabs>
        <w:suppressAutoHyphens/>
        <w:autoSpaceDE w:val="0"/>
        <w:spacing w:after="0" w:line="200" w:lineRule="atLeast"/>
        <w:jc w:val="both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</w:p>
    <w:p w14:paraId="0FA05343" w14:textId="77777777" w:rsidR="00172FA0" w:rsidRPr="002A1EDC" w:rsidRDefault="00172FA0" w:rsidP="00172FA0">
      <w:pPr>
        <w:widowControl w:val="0"/>
        <w:tabs>
          <w:tab w:val="left" w:pos="708"/>
        </w:tabs>
        <w:suppressAutoHyphens/>
        <w:autoSpaceDE w:val="0"/>
        <w:spacing w:after="0" w:line="200" w:lineRule="atLeast"/>
        <w:jc w:val="both"/>
        <w:rPr>
          <w:rFonts w:ascii="Times New Roman" w:eastAsia="Andale Sans UI" w:hAnsi="Times New Roman"/>
          <w:kern w:val="3"/>
          <w:sz w:val="23"/>
          <w:szCs w:val="23"/>
          <w:lang w:eastAsia="ja-JP" w:bidi="fa-IR"/>
        </w:rPr>
      </w:pPr>
    </w:p>
    <w:p w14:paraId="14A6DAA1" w14:textId="77777777" w:rsidR="00172FA0" w:rsidRDefault="00172FA0" w:rsidP="00172FA0">
      <w:pPr>
        <w:pStyle w:val="Bezodstpw"/>
        <w:rPr>
          <w:rFonts w:ascii="Times New Roman" w:hAnsi="Times New Roman"/>
          <w:sz w:val="20"/>
          <w:szCs w:val="20"/>
          <w:lang w:eastAsia="ja-JP" w:bidi="fa-IR"/>
        </w:rPr>
      </w:pPr>
    </w:p>
    <w:p w14:paraId="601E092F" w14:textId="77777777" w:rsidR="00172FA0" w:rsidRDefault="00172FA0" w:rsidP="00172FA0">
      <w:pPr>
        <w:pStyle w:val="Bezodstpw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ja-JP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ja-JP"/>
        </w:rPr>
        <w:t>Załączniki:</w:t>
      </w:r>
    </w:p>
    <w:p w14:paraId="7B5340D7" w14:textId="77777777" w:rsidR="00172FA0" w:rsidRDefault="00172FA0" w:rsidP="00172FA0">
      <w:pPr>
        <w:pStyle w:val="Bezodstpw"/>
        <w:numPr>
          <w:ilvl w:val="0"/>
          <w:numId w:val="1"/>
        </w:numPr>
        <w:ind w:left="709"/>
        <w:rPr>
          <w:rFonts w:ascii="Times New Roman" w:eastAsia="Times New Roman" w:hAnsi="Times New Roman"/>
          <w:bCs/>
          <w:sz w:val="20"/>
          <w:szCs w:val="20"/>
          <w:lang w:eastAsia="ja-JP"/>
        </w:rPr>
      </w:pPr>
      <w:r>
        <w:rPr>
          <w:rFonts w:ascii="Times New Roman" w:eastAsia="Times New Roman" w:hAnsi="Times New Roman"/>
          <w:bCs/>
          <w:sz w:val="20"/>
          <w:szCs w:val="20"/>
          <w:lang w:eastAsia="ja-JP"/>
        </w:rPr>
        <w:t>Projekt budowlany – 1 egz.</w:t>
      </w:r>
    </w:p>
    <w:p w14:paraId="43EB601B" w14:textId="77777777" w:rsidR="00172FA0" w:rsidRDefault="00172FA0" w:rsidP="00172FA0">
      <w:pPr>
        <w:pStyle w:val="Bezodstpw"/>
        <w:rPr>
          <w:rStyle w:val="Uwydatnieni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ja-JP"/>
        </w:rPr>
        <w:t>Otrzymują:</w:t>
      </w:r>
    </w:p>
    <w:p w14:paraId="778103F9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Burmistrz Miasta Pułtusk. </w:t>
      </w:r>
    </w:p>
    <w:p w14:paraId="2B82517B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Powiat Pułtuski reprezentowany przez Zarząd Powiatu w  Pułtusku.</w:t>
      </w:r>
    </w:p>
    <w:p w14:paraId="417CB66C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Skarb Państwa –-Starosta Pułtuski. </w:t>
      </w:r>
    </w:p>
    <w:p w14:paraId="686F25CC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Alicja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Nalewajk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 - Zarząd Wspólnoty Mieszkaniowej (ul. Mickiewicza 36 WD).</w:t>
      </w:r>
    </w:p>
    <w:p w14:paraId="0B09F7C7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Maria Jaroszewska - Zarząd Wspólnoty Mieszkaniowej (ul. Mickiewicza 36 WD).</w:t>
      </w:r>
    </w:p>
    <w:p w14:paraId="187339A7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P.H.U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Budomur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 Sp.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zo.o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.</w:t>
      </w:r>
    </w:p>
    <w:p w14:paraId="17778387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Zbigniew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Gilert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.</w:t>
      </w:r>
    </w:p>
    <w:p w14:paraId="5EFD8CEF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Paweł Karpiński.</w:t>
      </w:r>
    </w:p>
    <w:p w14:paraId="4014A42F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Ewelina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Darkowska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. </w:t>
      </w:r>
    </w:p>
    <w:p w14:paraId="72EB8679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lastRenderedPageBreak/>
        <w:t xml:space="preserve">Pan Łukasz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Kiempa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.</w:t>
      </w:r>
    </w:p>
    <w:p w14:paraId="5092C345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Marcin Majewski.</w:t>
      </w:r>
    </w:p>
    <w:p w14:paraId="295A1CE3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Tomasz Majewski. </w:t>
      </w:r>
    </w:p>
    <w:p w14:paraId="0112FCBF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Rafał Wiśniewski.</w:t>
      </w:r>
    </w:p>
    <w:p w14:paraId="5076DB6A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Andrzej Bajorek.</w:t>
      </w:r>
    </w:p>
    <w:p w14:paraId="7ACC5BE7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Teresa Bajorek.</w:t>
      </w:r>
    </w:p>
    <w:p w14:paraId="0CEEB5E4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Jakub Dyl.</w:t>
      </w:r>
    </w:p>
    <w:p w14:paraId="3CC4A0CE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Agnieszka Dyl.</w:t>
      </w:r>
    </w:p>
    <w:p w14:paraId="5E59C26B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Aleksander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Gortat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.</w:t>
      </w:r>
    </w:p>
    <w:p w14:paraId="34847CEE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Franciszka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Gortat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.</w:t>
      </w:r>
    </w:p>
    <w:p w14:paraId="59B98C2D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Krystian Kalinowski.</w:t>
      </w:r>
    </w:p>
    <w:p w14:paraId="3E4392C2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Kinga Kalinowska.</w:t>
      </w:r>
    </w:p>
    <w:p w14:paraId="4161F258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Anna Majewska. </w:t>
      </w:r>
    </w:p>
    <w:p w14:paraId="659AF9F3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Marek Majewski.</w:t>
      </w:r>
    </w:p>
    <w:p w14:paraId="0573D345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Janina Majewska. </w:t>
      </w:r>
    </w:p>
    <w:p w14:paraId="477CB86F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Michał Miłoszewski. </w:t>
      </w:r>
    </w:p>
    <w:p w14:paraId="16BC6746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Anna Miłoszewska. </w:t>
      </w:r>
    </w:p>
    <w:p w14:paraId="54D29FF3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Paweł Niedbała.</w:t>
      </w:r>
    </w:p>
    <w:p w14:paraId="2F4F1DF9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Alicja Niedbała. </w:t>
      </w:r>
    </w:p>
    <w:p w14:paraId="093D9421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Bogusław Stankiewicz.</w:t>
      </w:r>
    </w:p>
    <w:p w14:paraId="1A687215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Anna Stankiewicz.</w:t>
      </w:r>
    </w:p>
    <w:p w14:paraId="33ED5D08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Rafał Szczygielski.</w:t>
      </w:r>
    </w:p>
    <w:p w14:paraId="3416C7BC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Grażyna Szczygielska.</w:t>
      </w:r>
    </w:p>
    <w:p w14:paraId="68F94A3E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Michał Szolc.</w:t>
      </w:r>
    </w:p>
    <w:p w14:paraId="3EA20949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Julia Szolc. </w:t>
      </w:r>
    </w:p>
    <w:p w14:paraId="694B0A69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Grzegorz Wardziński.</w:t>
      </w:r>
    </w:p>
    <w:p w14:paraId="7EDB56A0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Katarzyna Wardzińska. </w:t>
      </w:r>
    </w:p>
    <w:p w14:paraId="3F973B53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Jerzy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Wultański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.</w:t>
      </w:r>
    </w:p>
    <w:p w14:paraId="27CBBB17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Katarzyna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Petryga-Wultańska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. </w:t>
      </w:r>
    </w:p>
    <w:p w14:paraId="4DD53653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Ireneusz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Zbrzezny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.</w:t>
      </w:r>
    </w:p>
    <w:p w14:paraId="0791E73F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Jadwiga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Zbrzezna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. </w:t>
      </w:r>
    </w:p>
    <w:p w14:paraId="03610E3E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Małgorzata Dąbrowska.</w:t>
      </w:r>
    </w:p>
    <w:p w14:paraId="3D6C1666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Sylwia Jaskulska.</w:t>
      </w:r>
    </w:p>
    <w:p w14:paraId="76A41188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Paweł Jaskulski. </w:t>
      </w:r>
    </w:p>
    <w:p w14:paraId="0F417D61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Malwina Łysakowska-Kulik.</w:t>
      </w:r>
    </w:p>
    <w:p w14:paraId="5E73A629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Jakub Dąbrowski.</w:t>
      </w:r>
    </w:p>
    <w:p w14:paraId="15BA6E61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Joanna Dąbrowska.</w:t>
      </w:r>
    </w:p>
    <w:p w14:paraId="2C293FE7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Jan Skrzydlak.</w:t>
      </w:r>
    </w:p>
    <w:p w14:paraId="45855164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Kamila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Dworznikowska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. </w:t>
      </w:r>
    </w:p>
    <w:p w14:paraId="26904651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Ireneusz Pieńkowski. </w:t>
      </w:r>
    </w:p>
    <w:p w14:paraId="07E654DD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Urszula Pieńkowska. </w:t>
      </w:r>
    </w:p>
    <w:p w14:paraId="2A52680C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Hubert Zalewski.</w:t>
      </w:r>
    </w:p>
    <w:p w14:paraId="366E4BF5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Adrianna Zalewska.</w:t>
      </w:r>
    </w:p>
    <w:p w14:paraId="4064C74D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Sławomir Karkowski.</w:t>
      </w:r>
    </w:p>
    <w:p w14:paraId="753EB1E1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Piotr Karkowski.</w:t>
      </w:r>
    </w:p>
    <w:p w14:paraId="013B0DF0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Krystyna Karkowska. </w:t>
      </w:r>
    </w:p>
    <w:p w14:paraId="519253C7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Artur Bosy.</w:t>
      </w:r>
    </w:p>
    <w:p w14:paraId="75A4DDD8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Elżbieta Bosy.</w:t>
      </w:r>
    </w:p>
    <w:p w14:paraId="50DFA9FE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Robert Bosy.</w:t>
      </w:r>
    </w:p>
    <w:p w14:paraId="2F895F4C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Marta Tkaczyk.</w:t>
      </w:r>
    </w:p>
    <w:p w14:paraId="4419C146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Pani Barbara </w:t>
      </w:r>
      <w:proofErr w:type="spellStart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Bartoszuk</w:t>
      </w:r>
      <w:proofErr w:type="spellEnd"/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.</w:t>
      </w:r>
    </w:p>
    <w:p w14:paraId="2B186C07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Paweł Bochenek. </w:t>
      </w:r>
    </w:p>
    <w:p w14:paraId="62F51AF6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 xml:space="preserve">Pan Rafał Komorowski. </w:t>
      </w:r>
    </w:p>
    <w:p w14:paraId="70184813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Patrycja Pawlikowska.</w:t>
      </w:r>
    </w:p>
    <w:p w14:paraId="6E91F2A4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Weronika Pawlikowska.</w:t>
      </w:r>
    </w:p>
    <w:p w14:paraId="70167396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 Paweł Baryła.</w:t>
      </w:r>
    </w:p>
    <w:p w14:paraId="285D44FE" w14:textId="77777777" w:rsidR="00407DC2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Julia Górska-Baryła.</w:t>
      </w:r>
    </w:p>
    <w:p w14:paraId="2CA1BB38" w14:textId="6B88EB00" w:rsidR="00172FA0" w:rsidRPr="00407DC2" w:rsidRDefault="00407DC2" w:rsidP="00407DC2">
      <w:pPr>
        <w:widowControl w:val="0"/>
        <w:numPr>
          <w:ilvl w:val="0"/>
          <w:numId w:val="2"/>
        </w:numPr>
        <w:tabs>
          <w:tab w:val="left" w:pos="-15120"/>
          <w:tab w:val="left" w:pos="-12960"/>
        </w:tabs>
        <w:suppressAutoHyphens/>
        <w:spacing w:after="0" w:line="200" w:lineRule="atLeast"/>
        <w:jc w:val="both"/>
        <w:textAlignment w:val="baseline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Lucida Sans Unicode" w:hAnsiTheme="majorBidi" w:cstheme="majorBidi"/>
          <w:sz w:val="20"/>
          <w:szCs w:val="20"/>
          <w:lang w:eastAsia="ja-JP"/>
        </w:rPr>
        <w:t>Pani Renata Komorowska.</w:t>
      </w:r>
    </w:p>
    <w:p w14:paraId="53981BA6" w14:textId="77777777" w:rsidR="00172FA0" w:rsidRPr="00407DC2" w:rsidRDefault="00172FA0" w:rsidP="00172FA0">
      <w:pPr>
        <w:widowControl w:val="0"/>
        <w:numPr>
          <w:ilvl w:val="0"/>
          <w:numId w:val="2"/>
        </w:numPr>
        <w:tabs>
          <w:tab w:val="left" w:pos="-11520"/>
          <w:tab w:val="left" w:pos="-9360"/>
        </w:tabs>
        <w:suppressAutoHyphens/>
        <w:spacing w:after="0" w:line="200" w:lineRule="atLeast"/>
        <w:jc w:val="both"/>
        <w:rPr>
          <w:rFonts w:asciiTheme="majorBidi" w:eastAsia="Lucida Sans Unicode" w:hAnsiTheme="majorBidi" w:cstheme="majorBidi"/>
          <w:sz w:val="20"/>
          <w:szCs w:val="20"/>
          <w:lang w:eastAsia="ja-JP"/>
        </w:rPr>
      </w:pPr>
      <w:r w:rsidRPr="00407DC2">
        <w:rPr>
          <w:rFonts w:asciiTheme="majorBidi" w:eastAsia="Times New Roman" w:hAnsiTheme="majorBidi" w:cstheme="majorBidi"/>
          <w:sz w:val="20"/>
          <w:szCs w:val="20"/>
          <w:lang w:eastAsia="ar-SA"/>
        </w:rPr>
        <w:t>a/a +</w:t>
      </w:r>
      <w:r w:rsidRPr="00407DC2">
        <w:rPr>
          <w:rFonts w:asciiTheme="majorBidi" w:eastAsia="Times New Roman" w:hAnsiTheme="majorBidi" w:cstheme="majorBidi"/>
          <w:sz w:val="20"/>
          <w:szCs w:val="20"/>
          <w:lang w:eastAsia="ja-JP"/>
        </w:rPr>
        <w:t xml:space="preserve"> 1 egz. projektu budowlanego.</w:t>
      </w:r>
    </w:p>
    <w:p w14:paraId="0D699403" w14:textId="77777777" w:rsidR="00172FA0" w:rsidRDefault="00172FA0" w:rsidP="00172FA0">
      <w:pPr>
        <w:pStyle w:val="Bezodstpw"/>
        <w:rPr>
          <w:rFonts w:ascii="Times New Roman" w:hAnsi="Times New Roman"/>
          <w:b/>
          <w:sz w:val="20"/>
          <w:szCs w:val="20"/>
          <w:lang w:eastAsia="ja-JP" w:bidi="fa-I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ja-JP"/>
        </w:rPr>
        <w:t>Do wiadomości</w:t>
      </w:r>
      <w:r>
        <w:rPr>
          <w:rFonts w:ascii="Times New Roman" w:eastAsia="Times New Roman" w:hAnsi="Times New Roman"/>
          <w:b/>
          <w:sz w:val="20"/>
          <w:szCs w:val="20"/>
          <w:lang w:eastAsia="ja-JP"/>
        </w:rPr>
        <w:t xml:space="preserve">: </w:t>
      </w:r>
    </w:p>
    <w:p w14:paraId="265FEF5D" w14:textId="77777777" w:rsidR="00172FA0" w:rsidRDefault="00172FA0" w:rsidP="00172FA0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/>
          <w:sz w:val="20"/>
          <w:szCs w:val="20"/>
          <w:lang w:eastAsia="ja-JP"/>
        </w:rPr>
        <w:t>Powiatowy Inspektor Nadzoru Budowlanego w/m + 1 egz. projektu budowlanego.</w:t>
      </w:r>
    </w:p>
    <w:p w14:paraId="496E8612" w14:textId="77777777" w:rsidR="00172FA0" w:rsidRDefault="00172FA0" w:rsidP="00172FA0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Wydział Geodezji i Gospodarki Nieruchomościami Starostwa Powiatowego w Pułtusku.</w:t>
      </w:r>
    </w:p>
    <w:p w14:paraId="301A3EBA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16"/>
          <w:szCs w:val="16"/>
          <w:lang w:eastAsia="ja-JP" w:bidi="fa-IR"/>
        </w:rPr>
      </w:pPr>
      <w:r>
        <w:rPr>
          <w:rFonts w:ascii="Times New Roman" w:eastAsia="Andale Sans UI" w:hAnsi="Times New Roman"/>
          <w:bCs/>
          <w:kern w:val="3"/>
          <w:sz w:val="16"/>
          <w:szCs w:val="16"/>
          <w:lang w:eastAsia="ja-JP" w:bidi="fa-IR"/>
        </w:rPr>
        <w:lastRenderedPageBreak/>
        <w:t>SS</w:t>
      </w:r>
    </w:p>
    <w:p w14:paraId="79E52568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8"/>
          <w:szCs w:val="18"/>
          <w:lang w:eastAsia="ja-JP" w:bidi="fa-IR"/>
        </w:rPr>
      </w:pPr>
    </w:p>
    <w:p w14:paraId="66D8FDB1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18"/>
          <w:szCs w:val="18"/>
          <w:lang w:eastAsia="ja-JP" w:bidi="fa-IR"/>
        </w:rPr>
        <w:t>POUCZENIE:</w:t>
      </w:r>
    </w:p>
    <w:p w14:paraId="2D895355" w14:textId="77777777" w:rsidR="00172FA0" w:rsidRDefault="00172FA0" w:rsidP="00172F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</w:pP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t>1. 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14:paraId="084EAA2A" w14:textId="77777777" w:rsidR="00172FA0" w:rsidRDefault="00172FA0" w:rsidP="00172FA0">
      <w:pPr>
        <w:widowControl w:val="0"/>
        <w:suppressAutoHyphens/>
        <w:spacing w:after="0" w:line="240" w:lineRule="auto"/>
        <w:ind w:left="191"/>
        <w:jc w:val="both"/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</w:pP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t>1) oświadczenie kierownika budowy (robót) stwierdzające sporządzenie planu bezpieczeństwa i ochrony zdrowia oraz przyjęcie obowiązku kierowania budową (robotami budowlanymi), a także zaświadczenie, o którym mowa w art. 12 ust. 7 ustawy z dnia 7 lipca 1994 r. - Prawo budowlane;</w:t>
      </w:r>
    </w:p>
    <w:p w14:paraId="4CE2CF45" w14:textId="77777777" w:rsidR="00172FA0" w:rsidRDefault="00172FA0" w:rsidP="00172FA0">
      <w:pPr>
        <w:widowControl w:val="0"/>
        <w:suppressAutoHyphens/>
        <w:spacing w:after="0" w:line="240" w:lineRule="auto"/>
        <w:ind w:left="191"/>
        <w:jc w:val="both"/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</w:pP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t>2) 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14:paraId="343664E1" w14:textId="77777777" w:rsidR="00172FA0" w:rsidRDefault="00172FA0" w:rsidP="00172FA0">
      <w:pPr>
        <w:widowControl w:val="0"/>
        <w:suppressAutoHyphens/>
        <w:spacing w:after="0" w:line="240" w:lineRule="auto"/>
        <w:ind w:left="191"/>
        <w:jc w:val="both"/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</w:pP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t>3) informację zawierającą dane zamieszczone w ogłoszeniu, o którym mowa w art. 42 ust. 2 pkt 2 ustawy z dnia 7 lipca 1994 r. – Prawo budowlane (zob. art. 41 ust. 4 ustawy z dnia 7 lipca 1994 r. – Prawo budowlane)</w:t>
      </w:r>
    </w:p>
    <w:p w14:paraId="25C8EB46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</w:pP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t>2. 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</w:t>
      </w: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br/>
        <w:t xml:space="preserve">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</w:t>
      </w: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br/>
        <w:t>1 ustawy z dnia 7 lipca 1994 r. – Prawo budowlane).</w:t>
      </w:r>
    </w:p>
    <w:p w14:paraId="27F6A69C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</w:pP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t xml:space="preserve">3. Inwestor może przystąpić do użytkowania obiektu budowlanego przed wykonaniem wszystkich robót budowlanych pod warunkiem uzyskania decyzji </w:t>
      </w: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br/>
        <w:t>o pozwoleniu na użytkowanie wydanej przez właściwy organ nadzoru budowlanego (zob. art. 55 ust. 1 pkt 3 ustawy z dnia 7 lipca 1994 r. – Prawo budowlane).</w:t>
      </w:r>
    </w:p>
    <w:p w14:paraId="3C6281C5" w14:textId="77777777" w:rsidR="00172FA0" w:rsidRDefault="00172FA0" w:rsidP="00172F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</w:pP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t>4. Inwestor zamiast dokonania zawiadomienia o zakończeniu budowy może wystąpić z wnioskiem o wydanie decyzji o pozwoleniu na użytkowanie (zob. art.</w:t>
      </w:r>
      <w:r>
        <w:rPr>
          <w:rFonts w:ascii="Times New Roman" w:eastAsia="Andale Sans UI" w:hAnsi="Times New Roman"/>
          <w:kern w:val="3"/>
          <w:sz w:val="14"/>
          <w:szCs w:val="14"/>
          <w:lang w:eastAsia="ja-JP" w:bidi="fa-IR"/>
        </w:rPr>
        <w:br/>
        <w:t>55 ust. 2 ustawy z dnia 7 lipca 1994 r. – Prawo budowlane).</w:t>
      </w:r>
    </w:p>
    <w:p w14:paraId="2A1926E7" w14:textId="77777777" w:rsidR="00172FA0" w:rsidRDefault="00172FA0" w:rsidP="00172FA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11"/>
        <w:jc w:val="both"/>
      </w:pPr>
      <w:r>
        <w:rPr>
          <w:rFonts w:ascii="Times New Roman" w:eastAsia="TimesNewRoman" w:hAnsi="Times New Roman"/>
          <w:kern w:val="3"/>
          <w:sz w:val="14"/>
          <w:szCs w:val="14"/>
          <w:lang w:eastAsia="ja-JP" w:bidi="fa-IR"/>
        </w:rPr>
        <w:t>5. Przed wydaniem decyzji w sprawie pozwolenia na użytkowanie obiektu budowlanego właściwy organ nadzoru budowlanego przeprowadzi obowiązkową kontrolę budowy zgodnie z art. 59a ustawy z dnia 7 lipca 1994 r. – Prawo budowlane (zob. art. 59 ust. 1 ustawy z dnia 7 lipca 1994r. – Prawo budowlane). Wniosek o udzielenie pozwolenia na użytkowanie stanowi wezwanie właściwego organu do przeprowadzenia obowiązkowej kontroli budowy (zob. art. 57 ust. 6 ustawy</w:t>
      </w:r>
      <w:r>
        <w:rPr>
          <w:rFonts w:ascii="Times New Roman" w:eastAsia="TimesNewRoman" w:hAnsi="Times New Roman"/>
          <w:kern w:val="3"/>
          <w:sz w:val="14"/>
          <w:szCs w:val="14"/>
          <w:lang w:eastAsia="ja-JP" w:bidi="fa-IR"/>
        </w:rPr>
        <w:br/>
        <w:t>z dnia 7 lipca 1994 r. – Prawo budowlane).</w:t>
      </w:r>
      <w:bookmarkEnd w:id="0"/>
    </w:p>
    <w:p w14:paraId="21F63892" w14:textId="77777777" w:rsidR="00172FA0" w:rsidRDefault="00172FA0" w:rsidP="00172FA0"/>
    <w:p w14:paraId="4368C3C4" w14:textId="77777777" w:rsidR="00531432" w:rsidRDefault="00531432"/>
    <w:sectPr w:rsidR="00531432" w:rsidSect="00251E62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3D23" w14:textId="77777777" w:rsidR="00AC5A69" w:rsidRDefault="00AC5A69" w:rsidP="0091262D">
      <w:pPr>
        <w:spacing w:after="0" w:line="240" w:lineRule="auto"/>
      </w:pPr>
      <w:r>
        <w:separator/>
      </w:r>
    </w:p>
  </w:endnote>
  <w:endnote w:type="continuationSeparator" w:id="0">
    <w:p w14:paraId="6B37B327" w14:textId="77777777" w:rsidR="00AC5A69" w:rsidRDefault="00AC5A69" w:rsidP="0091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690662"/>
      <w:docPartObj>
        <w:docPartGallery w:val="Page Numbers (Bottom of Page)"/>
        <w:docPartUnique/>
      </w:docPartObj>
    </w:sdtPr>
    <w:sdtContent>
      <w:p w14:paraId="665C537C" w14:textId="76D34C86" w:rsidR="0091262D" w:rsidRDefault="0091262D" w:rsidP="0091262D">
        <w:pPr>
          <w:pStyle w:val="Stopka"/>
          <w:jc w:val="center"/>
        </w:pPr>
        <w:r w:rsidRPr="0091262D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91262D">
          <w:rPr>
            <w:rFonts w:asciiTheme="majorBidi" w:hAnsiTheme="majorBidi" w:cstheme="majorBidi"/>
            <w:sz w:val="18"/>
            <w:szCs w:val="18"/>
          </w:rPr>
          <w:instrText>PAGE   \* MERGEFORMAT</w:instrText>
        </w:r>
        <w:r w:rsidRPr="0091262D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Pr="0091262D">
          <w:rPr>
            <w:rFonts w:asciiTheme="majorBidi" w:hAnsiTheme="majorBidi" w:cstheme="majorBidi"/>
            <w:sz w:val="18"/>
            <w:szCs w:val="18"/>
          </w:rPr>
          <w:t>2</w:t>
        </w:r>
        <w:r w:rsidRPr="0091262D">
          <w:rPr>
            <w:rFonts w:asciiTheme="majorBidi" w:hAnsiTheme="majorBidi" w:cstheme="majorBidi"/>
            <w:sz w:val="18"/>
            <w:szCs w:val="18"/>
          </w:rPr>
          <w:fldChar w:fldCharType="end"/>
        </w:r>
        <w:r w:rsidRPr="0091262D">
          <w:rPr>
            <w:rFonts w:asciiTheme="majorBidi" w:hAnsiTheme="majorBidi" w:cstheme="majorBidi"/>
            <w:sz w:val="18"/>
            <w:szCs w:val="18"/>
          </w:rPr>
          <w:t>/4</w:t>
        </w:r>
      </w:p>
    </w:sdtContent>
  </w:sdt>
  <w:p w14:paraId="4A3BEF97" w14:textId="77777777" w:rsidR="0091262D" w:rsidRDefault="00912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609F" w14:textId="77777777" w:rsidR="00AC5A69" w:rsidRDefault="00AC5A69" w:rsidP="0091262D">
      <w:pPr>
        <w:spacing w:after="0" w:line="240" w:lineRule="auto"/>
      </w:pPr>
      <w:r>
        <w:separator/>
      </w:r>
    </w:p>
  </w:footnote>
  <w:footnote w:type="continuationSeparator" w:id="0">
    <w:p w14:paraId="53F2FD57" w14:textId="77777777" w:rsidR="00AC5A69" w:rsidRDefault="00AC5A69" w:rsidP="0091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B72"/>
    <w:multiLevelType w:val="hybridMultilevel"/>
    <w:tmpl w:val="79FE83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193C1D"/>
    <w:multiLevelType w:val="multilevel"/>
    <w:tmpl w:val="F3F8197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/>
        <w:sz w:val="20"/>
        <w:szCs w:val="20"/>
        <w:lang w:val="pl-PL" w:eastAsia="ar-SA" w:bidi="ar-SA"/>
      </w:rPr>
    </w:lvl>
    <w:lvl w:ilvl="1">
      <w:start w:val="1"/>
      <w:numFmt w:val="none"/>
      <w:lvlText w:val="%2"/>
      <w:lvlJc w:val="left"/>
      <w:pPr>
        <w:ind w:left="208" w:firstLine="0"/>
      </w:pPr>
    </w:lvl>
    <w:lvl w:ilvl="2">
      <w:start w:val="1"/>
      <w:numFmt w:val="none"/>
      <w:lvlText w:val="%3"/>
      <w:lvlJc w:val="left"/>
      <w:pPr>
        <w:ind w:left="208" w:firstLine="0"/>
      </w:pPr>
    </w:lvl>
    <w:lvl w:ilvl="3">
      <w:start w:val="1"/>
      <w:numFmt w:val="none"/>
      <w:lvlText w:val="%4"/>
      <w:lvlJc w:val="left"/>
      <w:pPr>
        <w:ind w:left="208" w:firstLine="0"/>
      </w:pPr>
    </w:lvl>
    <w:lvl w:ilvl="4">
      <w:start w:val="1"/>
      <w:numFmt w:val="none"/>
      <w:lvlText w:val="%5"/>
      <w:lvlJc w:val="left"/>
      <w:pPr>
        <w:ind w:left="208" w:firstLine="0"/>
      </w:pPr>
    </w:lvl>
    <w:lvl w:ilvl="5">
      <w:start w:val="1"/>
      <w:numFmt w:val="none"/>
      <w:lvlText w:val="%6"/>
      <w:lvlJc w:val="left"/>
      <w:pPr>
        <w:ind w:left="208" w:firstLine="0"/>
      </w:pPr>
    </w:lvl>
    <w:lvl w:ilvl="6">
      <w:start w:val="1"/>
      <w:numFmt w:val="none"/>
      <w:lvlText w:val="%7"/>
      <w:lvlJc w:val="left"/>
      <w:pPr>
        <w:ind w:left="208" w:firstLine="0"/>
      </w:pPr>
    </w:lvl>
    <w:lvl w:ilvl="7">
      <w:start w:val="1"/>
      <w:numFmt w:val="none"/>
      <w:lvlText w:val="%8"/>
      <w:lvlJc w:val="left"/>
      <w:pPr>
        <w:ind w:left="208" w:firstLine="0"/>
      </w:pPr>
    </w:lvl>
    <w:lvl w:ilvl="8">
      <w:start w:val="1"/>
      <w:numFmt w:val="none"/>
      <w:lvlText w:val="%9"/>
      <w:lvlJc w:val="left"/>
      <w:pPr>
        <w:ind w:left="208" w:firstLine="0"/>
      </w:pPr>
    </w:lvl>
  </w:abstractNum>
  <w:abstractNum w:abstractNumId="2" w15:restartNumberingAfterBreak="0">
    <w:nsid w:val="2D2355AD"/>
    <w:multiLevelType w:val="multilevel"/>
    <w:tmpl w:val="96FA78B8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4"/>
        <w:szCs w:val="24"/>
        <w:lang w:val="pl-PL" w:eastAsia="ar-SA" w:bidi="ar-SA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72853BFF"/>
    <w:multiLevelType w:val="hybridMultilevel"/>
    <w:tmpl w:val="E98E6C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9412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182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585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198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A0"/>
    <w:rsid w:val="0003597B"/>
    <w:rsid w:val="00172FA0"/>
    <w:rsid w:val="002638BE"/>
    <w:rsid w:val="00322DC1"/>
    <w:rsid w:val="003861DA"/>
    <w:rsid w:val="00407DC2"/>
    <w:rsid w:val="0045072B"/>
    <w:rsid w:val="00531432"/>
    <w:rsid w:val="0091262D"/>
    <w:rsid w:val="00AC5A69"/>
    <w:rsid w:val="00AE72C3"/>
    <w:rsid w:val="00B85246"/>
    <w:rsid w:val="00E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2145"/>
  <w15:chartTrackingRefBased/>
  <w15:docId w15:val="{D264B5BF-488C-45D1-A8C1-67E4005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A0"/>
    <w:pPr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FA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semiHidden/>
    <w:rsid w:val="00172F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172FA0"/>
    <w:rPr>
      <w:i/>
      <w:iCs/>
    </w:rPr>
  </w:style>
  <w:style w:type="paragraph" w:styleId="NormalnyWeb">
    <w:name w:val="Normal (Web)"/>
    <w:basedOn w:val="Normalny"/>
    <w:rsid w:val="00AE72C3"/>
    <w:pPr>
      <w:widowControl w:val="0"/>
      <w:suppressAutoHyphens/>
      <w:spacing w:before="280" w:after="119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91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Sylwia Sekutowicz</cp:lastModifiedBy>
  <cp:revision>7</cp:revision>
  <cp:lastPrinted>2022-07-20T09:04:00Z</cp:lastPrinted>
  <dcterms:created xsi:type="dcterms:W3CDTF">2022-07-19T06:44:00Z</dcterms:created>
  <dcterms:modified xsi:type="dcterms:W3CDTF">2022-07-20T09:15:00Z</dcterms:modified>
</cp:coreProperties>
</file>